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Дело </w:t>
      </w:r>
      <w:r>
        <w:rPr>
          <w:rFonts w:ascii="Times New Roman" w:eastAsia="Times New Roman" w:hAnsi="Times New Roman" w:cs="Times New Roman"/>
          <w:sz w:val="26"/>
          <w:szCs w:val="26"/>
        </w:rPr>
        <w:t>05-</w:t>
      </w:r>
      <w:r>
        <w:rPr>
          <w:rFonts w:ascii="Times New Roman" w:eastAsia="Times New Roman" w:hAnsi="Times New Roman" w:cs="Times New Roman"/>
          <w:sz w:val="26"/>
          <w:szCs w:val="26"/>
        </w:rPr>
        <w:t>0798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27 мая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находящийся по адресу: ХМАО-Югра, г. Сургут, ул. Гагарина, д.9, каб.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представителя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органа </w:t>
      </w:r>
      <w:r>
        <w:rPr>
          <w:rFonts w:ascii="Times New Roman" w:eastAsia="Times New Roman" w:hAnsi="Times New Roman" w:cs="Times New Roman"/>
          <w:sz w:val="27"/>
          <w:szCs w:val="27"/>
        </w:rPr>
        <w:t>ФГКУ «Управление вневедомственной охраны войск национальной гвардии РФ по ХМАО-Югре» Кондратьевой О.А.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предусмотренном ч.1 ст. 20.35 Кодекса Российской Федерации об а</w:t>
      </w:r>
      <w:r>
        <w:rPr>
          <w:rFonts w:ascii="Times New Roman" w:eastAsia="Times New Roman" w:hAnsi="Times New Roman" w:cs="Times New Roman"/>
          <w:sz w:val="27"/>
          <w:szCs w:val="27"/>
        </w:rPr>
        <w:t>дминистративных правонарушениях: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должностного лица – </w:t>
      </w:r>
      <w:r>
        <w:rPr>
          <w:rStyle w:val="cat-UserDefinedgrp-39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Светланы Викторовны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40rplc-12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 2026 года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12 час. 05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установлено, что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должностное лицо - </w:t>
      </w:r>
      <w:r>
        <w:rPr>
          <w:rStyle w:val="cat-UserDefinedgrp-41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предприняла все зависящие от нее меры по соблюдению исполнения законодательства в области обеспечения антитеррористической защищенности объекта образования </w:t>
      </w:r>
      <w:r>
        <w:rPr>
          <w:rStyle w:val="cat-UserDefinedgrp-42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следовательно, совершила административное правонарушение, ответственность за которое предусмотрена частью 1 статьи 20.35 Кодекса Российской Федерации об административных правонарушениях - нарушение требований к антитеррористической защищенности объектов (территорий), за исключением случаев, предусмотренных частью 2 статьи 20.35, статьями 11.15.1 и 20.30 КоАП РФ, если эти действия не содержат признаков уголовно наказуемого деяния, выразившееся в форме бездействия в виде неисполнения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«д» п. 24, п. 31 ПП 1006, а именно в не оборудовании </w:t>
      </w:r>
      <w:r>
        <w:rPr>
          <w:rFonts w:ascii="Times New Roman" w:eastAsia="Times New Roman" w:hAnsi="Times New Roman" w:cs="Times New Roman"/>
          <w:sz w:val="27"/>
          <w:szCs w:val="27"/>
        </w:rPr>
        <w:t>объекта (территории) автономной системой оповещения и управления эвакуацией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 в любой точке объекта (территории). Действие (бездействие) директора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Светланы Викторовны не относятся к случаям, предусмотренным ч. 2 ст. 20.35 КоАП РФ, статьям 11.15.1 и 20.30 КоАП РФ, и не содержат признаков уголовно наказуемого деяния.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Шайдурова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С.В</w:t>
      </w:r>
      <w:r>
        <w:rPr>
          <w:rFonts w:ascii="Times New Roman" w:eastAsia="Times New Roman" w:hAnsi="Times New Roman" w:cs="Times New Roman"/>
          <w:sz w:val="27"/>
          <w:szCs w:val="27"/>
        </w:rPr>
        <w:t>. в судебном заседании пояснила, что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настоящее время предприняты все меры для скорейшего решения вопроса для оборудования объекта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автономной системой оповещения и управления эвакуацией работников, </w:t>
      </w:r>
      <w:r>
        <w:rPr>
          <w:rFonts w:ascii="Times New Roman" w:eastAsia="Times New Roman" w:hAnsi="Times New Roman" w:cs="Times New Roman"/>
          <w:sz w:val="27"/>
          <w:szCs w:val="27"/>
        </w:rPr>
        <w:t>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</w:t>
      </w:r>
      <w:r>
        <w:rPr>
          <w:rFonts w:ascii="Times New Roman" w:eastAsia="Times New Roman" w:hAnsi="Times New Roman" w:cs="Times New Roman"/>
          <w:sz w:val="27"/>
          <w:szCs w:val="27"/>
        </w:rPr>
        <w:t>дей в любой точке объекта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административного органа ФГКУ «Управление вневедомственной охраны войск национальной гвардии РФ по ХМАО-Югре» Кондратьева О.А. в судебном заседании поддержала доводы, изложенные в протоколе об административном правонарушении.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материалы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заслушав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представителя административного органа,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пришел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Концепцией противодействия терроризму в РФ, утвержденной Президентом РФ 05.10.2009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со статьей 1 Федерального закона от 6 марта 2006 года № 35-ФЗ «О противодействии терроризму»,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4 ст. 3 Федерального закона от 06.03.2006 № 35-ФЗ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>«О противодействии терроризму», противодействие терроризму это деятельность органов государственной власти и органов местного самоуправления, а также физических и юридических лиц по: 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б) выявлению, предупреждению, пресечению, раскрытию и расследованию террористического акта (борьба с терроризмом); в) минимизации и (или) ликвидации последствий проявлений терроризма.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п.6 ст.3 Федерального закона от 06.03.2006 № 35-ФЗ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 противодействии терроризму»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пункта 4 части 2 статьи 5 Федерального закона от 6 марта 2006 года № 35-ФЗ «О противодействии терроризму»,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</w:t>
      </w:r>
      <w:r>
        <w:rPr>
          <w:rFonts w:ascii="Times New Roman" w:eastAsia="Times New Roman" w:hAnsi="Times New Roman" w:cs="Times New Roman"/>
          <w:sz w:val="27"/>
          <w:szCs w:val="27"/>
        </w:rPr>
        <w:t>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Требования к антите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утверждены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Постановлением Правительства РФ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ПП 1006)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требованиям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п. 5 ПП 1006, 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на объектах (территориях).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ПП 1006 в целях установления дифференцированных требований к антитеррористической защищенности объектов (территорий) с учетом возможных последствий совершения террористического акта проводится категорирование объектов (территорий).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15 ПП 1006 результаты работы комиссии оформляются актом обследования и категорирования объекта (территории), который подписывается всеми членами комиссии и утверждается председателем комиссии не позднее последнего дня работы комиссии. Акт обследования и категорирования объекта (территории) составляется в 2 экземплярах и является основанием для разработки, а также неотъемлемой частью паспорта безопасности объекта (территории).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пункте 25 ПП 1006 указано, что в отношении объектов (территорий) третьей категории опасности осуществляются мероприятия дополнительно к мероприятиям, предусмотренным пунктом 24 ПП 1006.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«д» п. 24 ПП 1006 в целях обеспечения антитеррористической защищенности объектов (территорий) осуществляются мероприятия по оборудованию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31 ПП 1006 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 Системы оповещения и управления эвакуацией людей должны быть автономными и оборудованы источниками бесперебойного электропитания. В любой точке объекта (территории), где требуется оповещение людей, уровень громкости, формируемый звуковыми и речевыми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оповещателями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должен быть выше допустимого уровня шума. Речевые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объекты (территории), относящиеся к сфере деятельности Министерства просвещения Российской Федерации, должны быть оборудованы помимо источников бесперебойного электропитания именно автономными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 Установленные на объектах образования системы оповещение и управления эвакуацией для целей оповещения людей при пожаре, чрезвычайных ситуациях (гражданской обороны) не могут подменять собой системы для оповещения людей при совершении или угрозе совершения террористического акта, а также его проявлений.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Актом обследования и категорирования объекта (территории) от 18 марта 2026 года,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объекту образования </w:t>
      </w:r>
      <w:r>
        <w:rPr>
          <w:rStyle w:val="cat-UserDefinedgrp-43rplc-3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подтверждена 3 категория опасности.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Акта обследования и категорирования объекта (территории) от 18 марта 2026 года объект </w:t>
      </w:r>
      <w:r>
        <w:rPr>
          <w:rStyle w:val="cat-UserDefinedgrp-44rplc-3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оборудован системой охранно-пожарной сигнализации и системой оповещения о пожаре, которая не является автономной системой оповещения и управления эвакуацией людей, и, кроме того, не обеспечивает оперативное информирование лиц, находящихся на территории объекта, о необходимости эвакуации и других действиях, обеспечивающих безопасность людей и предотвращение паники, так как на прилегающей к объекту территории речевые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отсутствуют, что свидетельствует о 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«д» п. 24 , п. 31 ПП 1006.</w:t>
      </w:r>
    </w:p>
    <w:p>
      <w:pPr>
        <w:tabs>
          <w:tab w:val="left" w:pos="709"/>
        </w:tabs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Невыполнение требований к антитеррористической защищенности объекта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лица, привлекаемого к административной ответственности, подтверждается следующими документами: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-протоколом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07.05.2026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копией рапорта об обнаружении признаков правонарушения;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уведомлением о явке;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паспорта;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справкой на лицо;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документов о назначении на должность, должностной инструкции, трудового договора и дополнительными соглашениями;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выпиской из ЕГРЮЛ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</w:t>
      </w:r>
      <w:r>
        <w:rPr>
          <w:rFonts w:ascii="Times New Roman" w:eastAsia="Times New Roman" w:hAnsi="Times New Roman" w:cs="Times New Roman"/>
          <w:sz w:val="27"/>
          <w:szCs w:val="27"/>
        </w:rPr>
        <w:t>свидетельства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устава;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выпиской из реестра лицензий;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свидетельства о государственной регистрации права;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выпиской из Единого государственного реестра налогоплательщиков;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ями </w:t>
      </w:r>
      <w:r>
        <w:rPr>
          <w:rFonts w:ascii="Times New Roman" w:eastAsia="Times New Roman" w:hAnsi="Times New Roman" w:cs="Times New Roman"/>
          <w:sz w:val="27"/>
          <w:szCs w:val="27"/>
        </w:rPr>
        <w:t>приказ</w:t>
      </w:r>
      <w:r>
        <w:rPr>
          <w:rFonts w:ascii="Times New Roman" w:eastAsia="Times New Roman" w:hAnsi="Times New Roman" w:cs="Times New Roman"/>
          <w:sz w:val="27"/>
          <w:szCs w:val="27"/>
        </w:rPr>
        <w:t>ов с приложениями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перепиской об обследовании объекта;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рапорта об обследовании объекта;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актом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обследования </w:t>
      </w:r>
      <w:r>
        <w:rPr>
          <w:rFonts w:ascii="Times New Roman" w:eastAsia="Times New Roman" w:hAnsi="Times New Roman" w:cs="Times New Roman"/>
          <w:sz w:val="27"/>
          <w:szCs w:val="27"/>
        </w:rPr>
        <w:t>в рамках актуализации паспорта безопасности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объекта;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рабочей документацией на монтаж системы пожарной </w:t>
      </w:r>
      <w:r>
        <w:rPr>
          <w:rFonts w:ascii="Times New Roman" w:eastAsia="Times New Roman" w:hAnsi="Times New Roman" w:cs="Times New Roman"/>
          <w:sz w:val="27"/>
          <w:szCs w:val="27"/>
        </w:rPr>
        <w:t>безопасности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и другими материалами дела.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Каких-либо нарушений при составлении постановления о возбуждении дела об административном правонарушении, мировым судьей не установлено, протокол составлен уполномоченным должностным лицом, существенных нарушений требования закона, влекущих признание протокола недопустимым доказательством, при его составлении не допущено.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со ст.2.4 КоАП РФ к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директора </w:t>
      </w:r>
      <w:r>
        <w:rPr>
          <w:rStyle w:val="cat-UserDefinedgrp-44rplc-4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Светланы Викторовны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подлежат квалификации по ч. 1 ст. 20.35 КоАП РФ как нарушение требований к антитеррористической защищенности объектов (территорий), за исключением случаев, предусмотренных </w:t>
      </w:r>
      <w:hyperlink w:anchor="sub_2035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</w:t>
      </w:r>
      <w:hyperlink w:anchor="sub_1115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статьями 11.15.1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hyperlink w:anchor="sub_203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20.30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Кодекса, если эти действия не содержат признаков уголовно наказуемого деяния.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согласно ст. 4.2 КоАП РФ, суд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согласно ст. 4.3 КоАП РФ, судом не установлено.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29.9-29.11 КоАП РФ, мировой судья</w:t>
      </w:r>
    </w:p>
    <w:p>
      <w:pPr>
        <w:spacing w:before="0" w:after="0"/>
        <w:ind w:left="142" w:hanging="142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Признать должное лицо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Style w:val="cat-UserDefinedgrp-45rplc-4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Светлану Викторовну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20.35 Кодекса Российской Федерации об административных правонарушениях, и назначить административное наказание в виде административного штрафа в размере 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000 (</w:t>
      </w:r>
      <w:r>
        <w:rPr>
          <w:rFonts w:ascii="Times New Roman" w:eastAsia="Times New Roman" w:hAnsi="Times New Roman" w:cs="Times New Roman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z w:val="27"/>
          <w:szCs w:val="27"/>
        </w:rPr>
        <w:t>ридцать тысяч) рублей 00 копеек.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7"/>
          <w:szCs w:val="27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наименование б</w:t>
      </w:r>
      <w:r>
        <w:rPr>
          <w:rFonts w:ascii="Times New Roman" w:eastAsia="Times New Roman" w:hAnsi="Times New Roman" w:cs="Times New Roman"/>
          <w:sz w:val="27"/>
          <w:szCs w:val="27"/>
        </w:rPr>
        <w:t>анк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>
        <w:rPr>
          <w:rFonts w:ascii="Times New Roman" w:eastAsia="Times New Roman" w:hAnsi="Times New Roman" w:cs="Times New Roman"/>
          <w:sz w:val="27"/>
          <w:szCs w:val="27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7"/>
          <w:szCs w:val="27"/>
        </w:rPr>
        <w:t>, счет получателя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(номер казначейского счета): </w:t>
      </w:r>
      <w:r>
        <w:rPr>
          <w:rFonts w:ascii="Times New Roman" w:eastAsia="Times New Roman" w:hAnsi="Times New Roman" w:cs="Times New Roman"/>
          <w:sz w:val="27"/>
          <w:szCs w:val="27"/>
        </w:rPr>
        <w:t>03100643000000018700</w:t>
      </w:r>
      <w:r>
        <w:rPr>
          <w:rFonts w:ascii="Times New Roman" w:eastAsia="Times New Roman" w:hAnsi="Times New Roman" w:cs="Times New Roman"/>
          <w:sz w:val="27"/>
          <w:szCs w:val="27"/>
        </w:rPr>
        <w:t>, банковский счет, входящий в состав единого казначейского счета (ЕКС)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40102810245370000007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БИК </w:t>
      </w:r>
      <w:r>
        <w:rPr>
          <w:rFonts w:ascii="Times New Roman" w:eastAsia="Times New Roman" w:hAnsi="Times New Roman" w:cs="Times New Roman"/>
          <w:sz w:val="27"/>
          <w:szCs w:val="27"/>
        </w:rPr>
        <w:t>007162163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ОКТМО 71876000, ИНН </w:t>
      </w:r>
      <w:r>
        <w:rPr>
          <w:rFonts w:ascii="Times New Roman" w:eastAsia="Times New Roman" w:hAnsi="Times New Roman" w:cs="Times New Roman"/>
          <w:sz w:val="27"/>
          <w:szCs w:val="27"/>
        </w:rPr>
        <w:t>8601073664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КПП </w:t>
      </w:r>
      <w:r>
        <w:rPr>
          <w:rFonts w:ascii="Times New Roman" w:eastAsia="Times New Roman" w:hAnsi="Times New Roman" w:cs="Times New Roman"/>
          <w:sz w:val="27"/>
          <w:szCs w:val="27"/>
        </w:rPr>
        <w:t>860101001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</w:t>
      </w:r>
      <w:r>
        <w:rPr>
          <w:rFonts w:ascii="Times New Roman" w:eastAsia="Times New Roman" w:hAnsi="Times New Roman" w:cs="Times New Roman"/>
          <w:sz w:val="27"/>
          <w:szCs w:val="27"/>
        </w:rPr>
        <w:t>0412365400575007982620105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квитанции предоставляется в каб.105 д. 9 по ул. Гагарина г.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Сургутский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Сургутского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0798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844415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9rplc-7">
    <w:name w:val="cat-UserDefined grp-39 rplc-7"/>
    <w:basedOn w:val="DefaultParagraphFont"/>
  </w:style>
  <w:style w:type="character" w:customStyle="1" w:styleId="cat-UserDefinedgrp-40rplc-12">
    <w:name w:val="cat-UserDefined grp-40 rplc-12"/>
    <w:basedOn w:val="DefaultParagraphFont"/>
  </w:style>
  <w:style w:type="character" w:customStyle="1" w:styleId="cat-UserDefinedgrp-41rplc-19">
    <w:name w:val="cat-UserDefined grp-41 rplc-19"/>
    <w:basedOn w:val="DefaultParagraphFont"/>
  </w:style>
  <w:style w:type="character" w:customStyle="1" w:styleId="cat-UserDefinedgrp-42rplc-22">
    <w:name w:val="cat-UserDefined grp-42 rplc-22"/>
    <w:basedOn w:val="DefaultParagraphFont"/>
  </w:style>
  <w:style w:type="character" w:customStyle="1" w:styleId="cat-UserDefinedgrp-43rplc-35">
    <w:name w:val="cat-UserDefined grp-43 rplc-35"/>
    <w:basedOn w:val="DefaultParagraphFont"/>
  </w:style>
  <w:style w:type="character" w:customStyle="1" w:styleId="cat-UserDefinedgrp-44rplc-38">
    <w:name w:val="cat-UserDefined grp-44 rplc-38"/>
    <w:basedOn w:val="DefaultParagraphFont"/>
  </w:style>
  <w:style w:type="character" w:customStyle="1" w:styleId="cat-UserDefinedgrp-44rplc-40">
    <w:name w:val="cat-UserDefined grp-44 rplc-40"/>
    <w:basedOn w:val="DefaultParagraphFont"/>
  </w:style>
  <w:style w:type="character" w:customStyle="1" w:styleId="cat-UserDefinedgrp-45rplc-42">
    <w:name w:val="cat-UserDefined grp-45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57764-1C10-4681-8ED6-E54B9E634AC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